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43" w:rsidRDefault="00DD1943" w:rsidP="00DD1943">
      <w:pPr>
        <w:tabs>
          <w:tab w:val="left" w:pos="142"/>
          <w:tab w:val="left" w:pos="426"/>
        </w:tabs>
        <w:jc w:val="both"/>
        <w:rPr>
          <w:rFonts w:ascii="Arial Narrow" w:hAnsi="Arial Narrow"/>
          <w:sz w:val="24"/>
          <w:szCs w:val="24"/>
        </w:rPr>
        <w:sectPr w:rsidR="00DD1943" w:rsidSect="00EE600E">
          <w:headerReference w:type="default" r:id="rId5"/>
          <w:footerReference w:type="default" r:id="rId6"/>
          <w:pgSz w:w="11906" w:h="16838" w:code="9"/>
          <w:pgMar w:top="454" w:right="964" w:bottom="454" w:left="964" w:header="397" w:footer="397" w:gutter="0"/>
          <w:cols w:space="708"/>
          <w:docGrid w:linePitch="360"/>
        </w:sectPr>
      </w:pPr>
    </w:p>
    <w:p w:rsidR="00DD1943" w:rsidRPr="00D72A64" w:rsidRDefault="00DD1943" w:rsidP="00DD194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D72A64">
        <w:rPr>
          <w:rFonts w:ascii="Arial" w:hAnsi="Arial" w:cs="Arial"/>
          <w:b/>
          <w:sz w:val="32"/>
          <w:szCs w:val="32"/>
        </w:rPr>
        <w:t>Polityka Ochrony Danych Osobowych</w:t>
      </w:r>
    </w:p>
    <w:p w:rsidR="00DD1943" w:rsidRPr="00DD1943" w:rsidRDefault="00DD1943" w:rsidP="00DD1943">
      <w:pPr>
        <w:pStyle w:val="Bezodstpw"/>
        <w:jc w:val="center"/>
        <w:rPr>
          <w:rFonts w:asciiTheme="minorHAnsi" w:hAnsiTheme="minorHAnsi" w:cstheme="minorHAnsi"/>
          <w:sz w:val="44"/>
          <w:szCs w:val="44"/>
        </w:rPr>
      </w:pPr>
      <w:r w:rsidRPr="00DD1943">
        <w:rPr>
          <w:rFonts w:asciiTheme="minorHAnsi" w:hAnsiTheme="minorHAnsi" w:cstheme="minorHAnsi"/>
          <w:b/>
          <w:i/>
          <w:sz w:val="44"/>
          <w:szCs w:val="44"/>
          <w:u w:val="single"/>
        </w:rPr>
        <w:t>REDCOD Usługi Informatyczne Wacław Spychalski</w:t>
      </w:r>
    </w:p>
    <w:p w:rsidR="00DD1943" w:rsidRPr="00D72A64" w:rsidRDefault="00DD1943" w:rsidP="00DD1943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DD1943" w:rsidRPr="00A478E9" w:rsidRDefault="00DD1943" w:rsidP="00DD19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78E9">
        <w:rPr>
          <w:rFonts w:ascii="Arial" w:hAnsi="Arial" w:cs="Arial"/>
          <w:color w:val="000000"/>
          <w:sz w:val="24"/>
          <w:szCs w:val="24"/>
        </w:rPr>
        <w:t xml:space="preserve">Polityka Ochrony Danych Osobowych </w:t>
      </w:r>
      <w:r>
        <w:rPr>
          <w:rFonts w:ascii="Arial" w:hAnsi="Arial" w:cs="Arial"/>
          <w:color w:val="000000"/>
          <w:sz w:val="24"/>
          <w:szCs w:val="24"/>
        </w:rPr>
        <w:t>w firmie REDCOD Usługi Informatyczne Wacław Spychalski</w:t>
      </w:r>
      <w:r w:rsidRPr="00A478E9">
        <w:rPr>
          <w:rFonts w:ascii="Arial" w:hAnsi="Arial" w:cs="Arial"/>
          <w:color w:val="000000"/>
          <w:sz w:val="24"/>
          <w:szCs w:val="24"/>
        </w:rPr>
        <w:t>, zwana dalej „Polityką”, określa zasady i działania jakie Administrator podejmuje w związku z realizacją założeń Rozporządzenia Parlamentu Europejskiego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78E9">
        <w:rPr>
          <w:rFonts w:ascii="Arial" w:hAnsi="Arial" w:cs="Arial"/>
          <w:color w:val="000000"/>
          <w:sz w:val="24"/>
          <w:szCs w:val="24"/>
        </w:rPr>
        <w:t>i Rady (UE) 2016/679 z dnia 27 kwietnia 2016 r. w sprawie ochrony osób fizycznych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78E9">
        <w:rPr>
          <w:rFonts w:ascii="Arial" w:hAnsi="Arial" w:cs="Arial"/>
          <w:color w:val="000000"/>
          <w:sz w:val="24"/>
          <w:szCs w:val="24"/>
        </w:rPr>
        <w:t>w związku z przetwarzaniem danych osobowych i w sprawie swobodnego przepływu takich danych oraz uchylenia dyrektywy 95/46/WE (dalej: RODO).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Definicje używane w zakresie ochrony danych zgodnie z RODO: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"dane osobowe" oznaczają wszelkie informacje o zidentyfikowanej lub możliwej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do zidentyfikowania osobie fizycznej ("osobie, której dane dotyczą"); możliwa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do zidentyfikowania osoba fizyczna to osoba, którą można bezpośrednio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Style w:val="text-justify1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"przetwarzanie" oznacza operację lub zestaw operacji wykonywanych na danych osobowych lub zestawach danych osobowych w sposób zautomatyzowany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"zbiór danych" oznacza uporządkowany zestaw danych osobowych dostępnych według określonych kryteriów, niezależnie od tego, czy zestaw ten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jest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scentralizowany, zdecentralizowany czy rozproszony funkcjonalnie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lub geograficznie;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Style w:val="text-justify1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"administrator" oznacza osobę fizyczną lub prawną, organ publiczny, jednostkę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lub inny podmiot, który samodzielnie lub wspólnie z innymi ustala cele i sposoby przetwarzania danych osobowych; 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lastRenderedPageBreak/>
        <w:t>"podmiot przetwarzający" oznacza osobę fizyczną lub prawną, organ publiczny, jednostkę lub inny podmiot, który przetwarza dane osobowe w imieniu administratora;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"odbiorca" oznacza osobę fizyczną lub prawną, organ publiczny, jednostkę lub inny podmiot, któremu ujawnia się dane osobowe, niezależnie od tego, czy jest stroną trzecią. Organy publiczne, które mogą otrzymywać dane osobowe w ramach konkretnego postępowania zgodnie z prawem Unii lub prawem państwa członkowskiego, nie są jednak uznawane za odbiorców; przetwarzanie tych danych przez te organy publiczne musi być zgodne z przepisami o ochronie danych mającymi zastosowanie stosownie do celów przetwarzania;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"zgoda" osoby, której dane dotyczą oznacza dobrowolne, konkretne, świadome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i jednoznaczne okazanie woli, którym osoba, której dane dotyczą, w formie oświadczenia lub wyraźnego działania potwierdzającego, przyzwala na przetwarzanie dotyczących jej danych osobowych;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"naruszenie ochrony danych osobowych" oznacza naruszenie bezpieczeństwa prowadzące do przypadkowego lub niezgodnego z prawem zniszczenia, utracenia, zmodyfikowania, nieuprawnionego ujawnienia lub nieuprawnionego dostępu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do danych osobowyc</w:t>
      </w:r>
      <w:bookmarkStart w:id="0" w:name="_GoBack"/>
      <w:bookmarkEnd w:id="0"/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h przesyłanych, przechowywanych lub w inny sposób przetwarzanych;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 xml:space="preserve">"dane dotyczące zdrowia" oznaczają dane osobowe o zdrowiu fizycznym </w:t>
      </w:r>
      <w:r>
        <w:rPr>
          <w:rStyle w:val="text-justify1"/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2014D4">
        <w:rPr>
          <w:rStyle w:val="text-justify1"/>
          <w:rFonts w:ascii="Arial" w:hAnsi="Arial" w:cs="Arial"/>
          <w:color w:val="000000"/>
          <w:sz w:val="24"/>
          <w:szCs w:val="24"/>
        </w:rPr>
        <w:t>lub psychicznym osoby fizycznej - w tym o korzystaniu z usług opieki zdrowotnej - ujawniające informacje o stanie jej zdrowia;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„dane wrażliwe” oznaczają dane wymienione w art. 9 ust. 1 RODO, tj. dane osobowe ujawniające pochodzenie rasowe lub etniczne, poglądy polityczne, przekonania religijne lub światopoglądowe, przynależność do związków </w:t>
      </w:r>
      <w:proofErr w:type="gramStart"/>
      <w:r w:rsidRPr="002014D4">
        <w:rPr>
          <w:rFonts w:ascii="Arial" w:hAnsi="Arial" w:cs="Arial"/>
          <w:color w:val="000000"/>
          <w:sz w:val="24"/>
          <w:szCs w:val="24"/>
        </w:rPr>
        <w:t xml:space="preserve">zawodowych,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dane genetyczne, biometryczne; 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„hasło” rozumie się przez to ciąg co najmniej 6 znaków zawierających cyfry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>lub litery, znany jedynie użytkownikowi;</w:t>
      </w:r>
    </w:p>
    <w:p w:rsidR="00DD1943" w:rsidRPr="002014D4" w:rsidRDefault="00DD1943" w:rsidP="00DD1943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4D4">
        <w:rPr>
          <w:rFonts w:ascii="Arial" w:hAnsi="Arial" w:cs="Arial"/>
          <w:color w:val="000000"/>
          <w:sz w:val="24"/>
          <w:szCs w:val="24"/>
        </w:rPr>
        <w:t>„użytkownik” rozumie się przez to osobę upoważnioną do przetwarzania danych osobowych.</w:t>
      </w:r>
    </w:p>
    <w:p w:rsidR="00DD1943" w:rsidRDefault="00DD194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lastRenderedPageBreak/>
        <w:t>Nadzór nad przestrzeganiem zasad opisanych w niniejszej Polityce oraz przepisów ochrony danych osobowych pełni</w:t>
      </w:r>
      <w:r>
        <w:rPr>
          <w:rFonts w:ascii="Arial" w:hAnsi="Arial" w:cs="Arial"/>
          <w:color w:val="000000"/>
          <w:sz w:val="24"/>
          <w:szCs w:val="24"/>
        </w:rPr>
        <w:t xml:space="preserve"> właściciel firmy Wacław Spychalski</w:t>
      </w:r>
      <w:r w:rsidRPr="002014D4">
        <w:rPr>
          <w:rFonts w:ascii="Arial" w:hAnsi="Arial" w:cs="Arial"/>
          <w:color w:val="000000"/>
          <w:sz w:val="24"/>
          <w:szCs w:val="24"/>
        </w:rPr>
        <w:t>, któr</w:t>
      </w:r>
      <w:r>
        <w:rPr>
          <w:rFonts w:ascii="Arial" w:hAnsi="Arial" w:cs="Arial"/>
          <w:color w:val="000000"/>
          <w:sz w:val="24"/>
          <w:szCs w:val="24"/>
        </w:rPr>
        <w:t>y jest jednocześnie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 administrator</w:t>
      </w:r>
      <w:r>
        <w:rPr>
          <w:rFonts w:ascii="Arial" w:hAnsi="Arial" w:cs="Arial"/>
          <w:color w:val="000000"/>
          <w:sz w:val="24"/>
          <w:szCs w:val="24"/>
        </w:rPr>
        <w:t>em danych osobowych przetwarzanych w firmie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Dane osobowe mogą być przetwarzane za zgodą podmiotów danych, za wyjątkiem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z ust. 6. </w:t>
      </w:r>
    </w:p>
    <w:p w:rsidR="00DD1943" w:rsidRPr="002014D4" w:rsidRDefault="00DD1943" w:rsidP="00DD1943">
      <w:pPr>
        <w:pStyle w:val="NormalnyWeb"/>
        <w:numPr>
          <w:ilvl w:val="0"/>
          <w:numId w:val="1"/>
        </w:numPr>
        <w:spacing w:before="72" w:beforeAutospacing="0" w:after="150" w:afterAutospacing="0" w:line="360" w:lineRule="auto"/>
        <w:jc w:val="both"/>
        <w:rPr>
          <w:rFonts w:ascii="Arial" w:hAnsi="Arial" w:cs="Arial"/>
          <w:color w:val="000000"/>
        </w:rPr>
      </w:pPr>
      <w:r w:rsidRPr="002014D4">
        <w:rPr>
          <w:rFonts w:ascii="Arial" w:hAnsi="Arial" w:cs="Arial"/>
          <w:bCs/>
          <w:color w:val="000000"/>
        </w:rPr>
        <w:t>Zgodne z prawem jest przetwarzania bez zgody podmiotu danych (art. 6 ust. 1 RODO) gdy:</w:t>
      </w:r>
    </w:p>
    <w:p w:rsidR="00DD1943" w:rsidRPr="002014D4" w:rsidRDefault="00DD1943" w:rsidP="00DD1943">
      <w:pPr>
        <w:pStyle w:val="NormalnyWeb"/>
        <w:numPr>
          <w:ilvl w:val="1"/>
          <w:numId w:val="1"/>
        </w:numPr>
        <w:spacing w:before="72" w:beforeAutospacing="0" w:after="150" w:afterAutospacing="0" w:line="360" w:lineRule="auto"/>
        <w:jc w:val="both"/>
        <w:rPr>
          <w:rStyle w:val="text-justify"/>
          <w:rFonts w:ascii="Arial" w:hAnsi="Arial" w:cs="Arial"/>
          <w:color w:val="000000"/>
        </w:rPr>
      </w:pPr>
      <w:r w:rsidRPr="002014D4">
        <w:rPr>
          <w:rStyle w:val="text-justify"/>
          <w:rFonts w:ascii="Arial" w:hAnsi="Arial" w:cs="Arial"/>
          <w:color w:val="000000"/>
        </w:rPr>
        <w:t>przetwarzanie jest niezbędne do wykonania umowy, której stroną jest osoba, której dane dotyczą, lub do podjęcia działań na żądanie osoby, której dane dotyczą, przed zawarciem umowy;</w:t>
      </w:r>
    </w:p>
    <w:p w:rsidR="00DD1943" w:rsidRPr="002014D4" w:rsidRDefault="00DD1943" w:rsidP="00DD1943">
      <w:pPr>
        <w:pStyle w:val="NormalnyWeb"/>
        <w:numPr>
          <w:ilvl w:val="1"/>
          <w:numId w:val="1"/>
        </w:numPr>
        <w:spacing w:before="72" w:beforeAutospacing="0" w:after="150" w:afterAutospacing="0" w:line="360" w:lineRule="auto"/>
        <w:jc w:val="both"/>
        <w:rPr>
          <w:rStyle w:val="text-justify"/>
          <w:rFonts w:ascii="Arial" w:hAnsi="Arial" w:cs="Arial"/>
          <w:color w:val="000000"/>
        </w:rPr>
      </w:pPr>
      <w:r w:rsidRPr="002014D4">
        <w:rPr>
          <w:rStyle w:val="text-justify"/>
          <w:rFonts w:ascii="Arial" w:hAnsi="Arial" w:cs="Arial"/>
          <w:color w:val="000000"/>
        </w:rPr>
        <w:t xml:space="preserve">przetwarzanie jest niezbędne do wypełnienia obowiązku prawnego ciążącego </w:t>
      </w:r>
      <w:r>
        <w:rPr>
          <w:rStyle w:val="text-justify"/>
          <w:rFonts w:ascii="Arial" w:hAnsi="Arial" w:cs="Arial"/>
          <w:color w:val="000000"/>
        </w:rPr>
        <w:t xml:space="preserve">                   </w:t>
      </w:r>
      <w:r w:rsidRPr="002014D4">
        <w:rPr>
          <w:rStyle w:val="text-justify"/>
          <w:rFonts w:ascii="Arial" w:hAnsi="Arial" w:cs="Arial"/>
          <w:color w:val="000000"/>
        </w:rPr>
        <w:t>na administratorze;</w:t>
      </w:r>
    </w:p>
    <w:p w:rsidR="00DD1943" w:rsidRPr="002014D4" w:rsidRDefault="00DD1943" w:rsidP="00DD1943">
      <w:pPr>
        <w:pStyle w:val="NormalnyWeb"/>
        <w:numPr>
          <w:ilvl w:val="1"/>
          <w:numId w:val="1"/>
        </w:numPr>
        <w:spacing w:before="72" w:beforeAutospacing="0" w:after="150" w:afterAutospacing="0" w:line="360" w:lineRule="auto"/>
        <w:jc w:val="both"/>
        <w:rPr>
          <w:rStyle w:val="text-justify"/>
          <w:rFonts w:ascii="Arial" w:hAnsi="Arial" w:cs="Arial"/>
          <w:color w:val="000000"/>
        </w:rPr>
      </w:pPr>
      <w:r w:rsidRPr="002014D4">
        <w:rPr>
          <w:rStyle w:val="text-justify"/>
          <w:rFonts w:ascii="Arial" w:hAnsi="Arial" w:cs="Arial"/>
          <w:color w:val="000000"/>
        </w:rPr>
        <w:t>przetwarzanie jest niezbędne do ochrony żywotnych interesów osoby, której dane dotyczą, lub innej osoby fizycznej;</w:t>
      </w:r>
    </w:p>
    <w:p w:rsidR="00DD1943" w:rsidRPr="002014D4" w:rsidRDefault="00DD1943" w:rsidP="00DD1943">
      <w:pPr>
        <w:pStyle w:val="NormalnyWeb"/>
        <w:numPr>
          <w:ilvl w:val="1"/>
          <w:numId w:val="1"/>
        </w:numPr>
        <w:spacing w:before="72" w:beforeAutospacing="0" w:after="150" w:afterAutospacing="0" w:line="360" w:lineRule="auto"/>
        <w:jc w:val="both"/>
        <w:rPr>
          <w:rStyle w:val="text-justify"/>
          <w:rFonts w:ascii="Arial" w:hAnsi="Arial" w:cs="Arial"/>
          <w:color w:val="000000"/>
        </w:rPr>
      </w:pPr>
      <w:r w:rsidRPr="002014D4">
        <w:rPr>
          <w:rStyle w:val="text-justify"/>
          <w:rFonts w:ascii="Arial" w:hAnsi="Arial" w:cs="Arial"/>
          <w:color w:val="000000"/>
        </w:rPr>
        <w:t>przetwarzanie jest niezbędne do wykonania zadania realizowanego w interesie publicznym lub w ramach sprawowania władzy publicznej powierzonej administratorowi;</w:t>
      </w:r>
    </w:p>
    <w:p w:rsidR="00DD1943" w:rsidRPr="002014D4" w:rsidRDefault="00DD1943" w:rsidP="00DD1943">
      <w:pPr>
        <w:pStyle w:val="NormalnyWeb"/>
        <w:numPr>
          <w:ilvl w:val="1"/>
          <w:numId w:val="1"/>
        </w:numPr>
        <w:spacing w:before="72" w:beforeAutospacing="0" w:after="150" w:afterAutospacing="0" w:line="360" w:lineRule="auto"/>
        <w:jc w:val="both"/>
        <w:rPr>
          <w:rFonts w:ascii="Arial" w:hAnsi="Arial" w:cs="Arial"/>
          <w:color w:val="000000"/>
        </w:rPr>
      </w:pPr>
      <w:r w:rsidRPr="002014D4">
        <w:rPr>
          <w:rStyle w:val="text-justify"/>
          <w:rFonts w:ascii="Arial" w:hAnsi="Arial" w:cs="Arial"/>
          <w:color w:val="000000"/>
        </w:rPr>
        <w:t>przetwarzanie jest niezbędne do celów wynikających z prawnie uzasadnionych interesów realizowanych przez administratora lub przez stronę trzecią.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Administrator podejmuje niezbędne działania w celu zapewnienia by wszyscy </w:t>
      </w:r>
      <w:r>
        <w:rPr>
          <w:rFonts w:ascii="Arial" w:hAnsi="Arial" w:cs="Arial"/>
          <w:color w:val="000000"/>
          <w:sz w:val="24"/>
          <w:szCs w:val="24"/>
        </w:rPr>
        <w:t>pracownicy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 i osoby upoważnione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4D4">
        <w:rPr>
          <w:rFonts w:ascii="Arial" w:hAnsi="Arial" w:cs="Arial"/>
          <w:color w:val="000000"/>
          <w:sz w:val="24"/>
          <w:szCs w:val="24"/>
        </w:rPr>
        <w:t>do przetwarzania danych osobowych zapoznali się z Polityką oraz przestrzegali zawartych w niej zasad.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Administrator prowadzi ewidencję osób upoważnionych do przetwarzania danych osobowych. 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Administrator oznacza zbiory danych jakie przetwarza i spisuje te zbiory w ramach Polityki ochrony danych.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Administrator prowadzi rejestr czynności przetwarzania.</w:t>
      </w:r>
    </w:p>
    <w:p w:rsidR="00DD1943" w:rsidRPr="002014D4" w:rsidRDefault="00DD1943" w:rsidP="00DD194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Przetwarzane przez </w:t>
      </w:r>
      <w:r>
        <w:rPr>
          <w:rFonts w:ascii="Arial" w:hAnsi="Arial" w:cs="Arial"/>
          <w:color w:val="000000"/>
          <w:sz w:val="24"/>
          <w:szCs w:val="24"/>
        </w:rPr>
        <w:t>REDCOD Usługi Informatyczne Wacław Spychalski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 dane osobowe nie będą profilowane ani podlegały zautomatyzowanemu podejmowaniu decyzji.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Politykę ochrony danych w </w:t>
      </w:r>
      <w:r>
        <w:rPr>
          <w:rFonts w:ascii="Arial" w:hAnsi="Arial" w:cs="Arial"/>
          <w:color w:val="000000"/>
          <w:sz w:val="24"/>
          <w:szCs w:val="24"/>
        </w:rPr>
        <w:t>REDCOD Usługi Informatyczne Wacław Spychalski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 należy realizować m.in. poprzez: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lastRenderedPageBreak/>
        <w:t xml:space="preserve">Zapoznanie </w:t>
      </w:r>
      <w:r>
        <w:rPr>
          <w:rFonts w:ascii="Arial" w:hAnsi="Arial" w:cs="Arial"/>
          <w:color w:val="000000"/>
          <w:sz w:val="24"/>
          <w:szCs w:val="24"/>
        </w:rPr>
        <w:t xml:space="preserve">wszystkich pracowników firmy </w:t>
      </w:r>
      <w:r w:rsidRPr="002014D4">
        <w:rPr>
          <w:rFonts w:ascii="Arial" w:hAnsi="Arial" w:cs="Arial"/>
          <w:color w:val="000000"/>
          <w:sz w:val="24"/>
          <w:szCs w:val="24"/>
        </w:rPr>
        <w:t>oraz osoby upoważnione do przetwarzania danych osobowych, z Polityką ochrony danych;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Podnoszenie wiedzy w zakresie bezpieczeństwa i ochrony danych osobowych;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Efektywne wdrożenie procedur;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Rzetelne prowadzenie rejestrów zbiorów danych;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Zabezpieczanie dostępów do komputerów hasłem; 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Odpowiednie zabezpieczanie danych; 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Polityka </w:t>
      </w:r>
      <w:r>
        <w:rPr>
          <w:rFonts w:ascii="Arial" w:hAnsi="Arial" w:cs="Arial"/>
          <w:color w:val="000000"/>
          <w:sz w:val="24"/>
          <w:szCs w:val="24"/>
        </w:rPr>
        <w:t>REDCOD Usługi Informatyczne Wacław Spychalski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 w zakresie ochrony danych na komputerach używanych u administratora, w tym komputerach przenośnych: 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Sprzęt komputerowy stosowany do przetwarzania danych osobowych jest zabezpieczony hasłem składającym się z co najmniej 5 znaków pisanych ciągiem. Hasło zmienia się nie rzadziej niż co 30 dni,</w:t>
      </w:r>
    </w:p>
    <w:p w:rsidR="00DD1943" w:rsidRPr="00E23FF9" w:rsidRDefault="00DD1943" w:rsidP="00E23F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Komputery przenośne wynoszone poza pomieszczenie </w:t>
      </w:r>
      <w:r w:rsidR="00E23FF9">
        <w:rPr>
          <w:rFonts w:ascii="Arial" w:hAnsi="Arial" w:cs="Arial"/>
          <w:color w:val="000000"/>
          <w:sz w:val="24"/>
          <w:szCs w:val="24"/>
        </w:rPr>
        <w:t>firmy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 muszą być zabezpieczane przed nieuprawnionym dostępem do danych w ten sam sposób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jak komputery na stałe znajdujące się w </w:t>
      </w:r>
      <w:r w:rsidR="00E23FF9">
        <w:rPr>
          <w:rFonts w:ascii="Arial" w:hAnsi="Arial" w:cs="Arial"/>
          <w:color w:val="000000"/>
          <w:sz w:val="24"/>
          <w:szCs w:val="24"/>
        </w:rPr>
        <w:t>siedzibie firmy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Przesyłanie danych osobowych w wiadomościach e-mail </w:t>
      </w:r>
      <w:r w:rsidR="00E23FF9">
        <w:rPr>
          <w:rFonts w:ascii="Arial" w:hAnsi="Arial" w:cs="Arial"/>
          <w:color w:val="000000"/>
          <w:sz w:val="24"/>
          <w:szCs w:val="24"/>
        </w:rPr>
        <w:t>REDCOD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, jest dopuszczalne tylko przez osoby upoważnione przez administratora, które muszą dbać o </w:t>
      </w:r>
      <w:proofErr w:type="spellStart"/>
      <w:r w:rsidRPr="002014D4">
        <w:rPr>
          <w:rFonts w:ascii="Arial" w:hAnsi="Arial" w:cs="Arial"/>
          <w:color w:val="000000"/>
          <w:sz w:val="24"/>
          <w:szCs w:val="24"/>
        </w:rPr>
        <w:t>anonimizację</w:t>
      </w:r>
      <w:proofErr w:type="spellEnd"/>
      <w:r w:rsidRPr="002014D4">
        <w:rPr>
          <w:rFonts w:ascii="Arial" w:hAnsi="Arial" w:cs="Arial"/>
          <w:color w:val="000000"/>
          <w:sz w:val="24"/>
          <w:szCs w:val="24"/>
        </w:rPr>
        <w:t xml:space="preserve"> adresów e-mail przez wpisywanie adresów odbiorców, w grupowo wysyłanych wiadomościach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e-mail, jako opcja dostępna w poczcie „kopia ukryta” „UDW”.  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Administrator dba o aktualizację programów antywirusowych.  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Naprawy i konserwacje sprzętu komputerowego wykonywane są w obecności osób upoważnionych.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Wobec każdego podmiotu danych administrator ma obowiązek informacyjny;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>Podmiot danych ma w każdym czasie prawo do kontroli przetwarzania swoich danych osobowych, a w szczególności prawo do zapoznania się z: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Tożsamością i aktualnymi danymi kontaktowymi; 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Danymi kontaktowymi IOD; 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Celami przetwarzania danych </w:t>
      </w:r>
      <w:proofErr w:type="gramStart"/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osobowych,</w:t>
      </w:r>
      <w:proofErr w:type="gramEnd"/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 oraz podstawie prawnej przetwarzania;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Jeżeli przetwarzanie odbywa się w związku z prawnie uzasadnionymi interesami </w:t>
      </w:r>
      <w:r>
        <w:rPr>
          <w:rStyle w:val="text-justify"/>
          <w:rFonts w:ascii="Arial" w:hAnsi="Arial" w:cs="Arial"/>
          <w:color w:val="000000"/>
          <w:sz w:val="24"/>
          <w:szCs w:val="24"/>
        </w:rPr>
        <w:t xml:space="preserve">                 </w:t>
      </w:r>
      <w:proofErr w:type="gramStart"/>
      <w:r>
        <w:rPr>
          <w:rStyle w:val="text-justify"/>
          <w:rFonts w:ascii="Arial" w:hAnsi="Arial" w:cs="Arial"/>
          <w:color w:val="000000"/>
          <w:sz w:val="24"/>
          <w:szCs w:val="24"/>
        </w:rPr>
        <w:t xml:space="preserve">   </w:t>
      </w: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(</w:t>
      </w:r>
      <w:proofErr w:type="gramEnd"/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na podstawie art. 6 ust. 1 lit. f) RODO) - prawnie uzasadnione interesy realizowane przez administratora lub przez stronę trzecią;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lastRenderedPageBreak/>
        <w:t>Podmiot danych ma w każdym czasie uzyskać i</w:t>
      </w: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nformacje o: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Odbiorcach danych osobowych lub o kategoriach odbiorców, jeżeli istnieją;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Informacjach o zamiarze przekazania danych osobowych do państwa trzeciego </w:t>
      </w:r>
      <w:r>
        <w:rPr>
          <w:rStyle w:val="text-justify"/>
          <w:rFonts w:ascii="Arial" w:hAnsi="Arial" w:cs="Arial"/>
          <w:color w:val="000000"/>
          <w:sz w:val="24"/>
          <w:szCs w:val="24"/>
        </w:rPr>
        <w:t xml:space="preserve">                   </w:t>
      </w: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lub organizacji międzynarodowej (gdy ma to zastosowanie);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Okresie przez który dane osobowe będą przechowywane, gdy możliwe jest ustalenie tego okresu; 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Informacjach o prawie do żądania od Administratora dostępu do danych osobowych dotyczących podmiotu danych, ich sprostowania, usunięcia lub ograniczenia przetwarzania lub o prawie do wniesienia sprzeciwu wobec przetwarzania, a także </w:t>
      </w:r>
      <w:r>
        <w:rPr>
          <w:rStyle w:val="text-justify"/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o prawie do przenoszenia danych;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Style w:val="text-justify"/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 xml:space="preserve">Jeżeli przetwarzanie odbywa się na podstawie zgody (art. 6 ust. 1 lit. a) RODO), podmiot danych uzyskuje informacje o prawie do cofnięcia zgody w dowolnym momencie bez wpływu na zgodność z prawem przetwarzania, którego dokonano </w:t>
      </w:r>
      <w:r>
        <w:rPr>
          <w:rStyle w:val="text-justify"/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na podstawie zgody przed jej cofnięciem;</w:t>
      </w:r>
    </w:p>
    <w:p w:rsidR="00DD1943" w:rsidRPr="002014D4" w:rsidRDefault="00DD1943" w:rsidP="00DD19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Style w:val="text-justify"/>
          <w:rFonts w:ascii="Arial" w:hAnsi="Arial" w:cs="Arial"/>
          <w:color w:val="000000"/>
          <w:sz w:val="24"/>
          <w:szCs w:val="24"/>
        </w:rPr>
        <w:t>prawie wniesienia skargi do organu nadzorczego;</w:t>
      </w:r>
    </w:p>
    <w:p w:rsidR="00DD1943" w:rsidRPr="002014D4" w:rsidRDefault="00DD1943" w:rsidP="00DD19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b/>
          <w:color w:val="000000"/>
          <w:sz w:val="24"/>
          <w:szCs w:val="24"/>
        </w:rPr>
        <w:t>WZORY/ZAŁĄCZNIKI</w:t>
      </w:r>
      <w:r w:rsidRPr="002014D4">
        <w:rPr>
          <w:rFonts w:ascii="Arial" w:hAnsi="Arial" w:cs="Arial"/>
          <w:color w:val="000000"/>
          <w:sz w:val="24"/>
          <w:szCs w:val="24"/>
        </w:rPr>
        <w:t>:</w:t>
      </w:r>
    </w:p>
    <w:p w:rsidR="00DD1943" w:rsidRPr="00E23FF9" w:rsidRDefault="00DD1943" w:rsidP="00E23FF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4D4">
        <w:rPr>
          <w:rFonts w:ascii="Arial" w:hAnsi="Arial" w:cs="Arial"/>
          <w:color w:val="000000"/>
          <w:sz w:val="24"/>
          <w:szCs w:val="24"/>
        </w:rPr>
        <w:t xml:space="preserve">Rozporządzenie Parlamentu Europejskiego i Rady (UE) 2016/679 z dnia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27 kwietnia 2016 r. w sprawie ochrony osób fizycznych w związku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2014D4">
        <w:rPr>
          <w:rFonts w:ascii="Arial" w:hAnsi="Arial" w:cs="Arial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danych, tzw. RODO), (Dz. U. UE. L. z 2016 r. Nr 119, str. 1 z </w:t>
      </w:r>
      <w:proofErr w:type="spellStart"/>
      <w:r w:rsidRPr="002014D4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2014D4">
        <w:rPr>
          <w:rFonts w:ascii="Arial" w:hAnsi="Arial" w:cs="Arial"/>
          <w:color w:val="000000"/>
          <w:sz w:val="24"/>
          <w:szCs w:val="24"/>
        </w:rPr>
        <w:t>. zm.);</w:t>
      </w:r>
    </w:p>
    <w:p w:rsidR="00DD1943" w:rsidRPr="002014D4" w:rsidRDefault="00DD1943" w:rsidP="00DD1943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D1943" w:rsidRDefault="00DD1943"/>
    <w:sectPr w:rsidR="00DD1943" w:rsidSect="00A450A0">
      <w:headerReference w:type="default" r:id="rId7"/>
      <w:type w:val="continuous"/>
      <w:pgSz w:w="11906" w:h="16838" w:code="9"/>
      <w:pgMar w:top="454" w:right="851" w:bottom="454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0E" w:rsidRPr="00EE600E" w:rsidRDefault="00E23FF9">
    <w:pPr>
      <w:pStyle w:val="Stopka"/>
      <w:rPr>
        <w:rFonts w:cs="Calibri"/>
        <w:sz w:val="20"/>
        <w:szCs w:val="20"/>
      </w:rPr>
    </w:pPr>
    <w:r w:rsidRPr="00EE600E">
      <w:rPr>
        <w:rFonts w:eastAsia="Times New Roman" w:cs="Calibri"/>
        <w:sz w:val="20"/>
        <w:szCs w:val="20"/>
      </w:rPr>
      <w:t xml:space="preserve">str. </w:t>
    </w:r>
    <w:r w:rsidRPr="00EE600E">
      <w:rPr>
        <w:rFonts w:eastAsia="Times New Roman" w:cs="Calibri"/>
        <w:sz w:val="20"/>
        <w:szCs w:val="20"/>
      </w:rPr>
      <w:fldChar w:fldCharType="begin"/>
    </w:r>
    <w:r w:rsidRPr="00EE600E">
      <w:rPr>
        <w:rFonts w:cs="Calibri"/>
        <w:sz w:val="20"/>
        <w:szCs w:val="20"/>
      </w:rPr>
      <w:instrText>PAGE    \* MERGEFORMAT</w:instrText>
    </w:r>
    <w:r w:rsidRPr="00EE600E">
      <w:rPr>
        <w:rFonts w:eastAsia="Times New Roman" w:cs="Calibri"/>
        <w:sz w:val="20"/>
        <w:szCs w:val="20"/>
      </w:rPr>
      <w:fldChar w:fldCharType="separate"/>
    </w:r>
    <w:r w:rsidRPr="00EE600E">
      <w:rPr>
        <w:rFonts w:eastAsia="Times New Roman" w:cs="Calibri"/>
        <w:sz w:val="20"/>
        <w:szCs w:val="20"/>
      </w:rPr>
      <w:t>2</w:t>
    </w:r>
    <w:r w:rsidRPr="00EE600E">
      <w:rPr>
        <w:rFonts w:eastAsia="Times New Roman" w:cs="Calibri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81" w:rsidRPr="00EE600E" w:rsidRDefault="00E23FF9" w:rsidP="00A478E9">
    <w:pPr>
      <w:widowControl w:val="0"/>
      <w:autoSpaceDE w:val="0"/>
      <w:autoSpaceDN w:val="0"/>
      <w:adjustRightInd w:val="0"/>
      <w:rPr>
        <w:color w:val="007EB8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2F3" w:rsidRPr="00EE600E" w:rsidRDefault="00E23FF9" w:rsidP="00EE600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4F7"/>
    <w:multiLevelType w:val="hybridMultilevel"/>
    <w:tmpl w:val="9AF4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54BF"/>
    <w:multiLevelType w:val="hybridMultilevel"/>
    <w:tmpl w:val="E57A17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A46FF"/>
    <w:multiLevelType w:val="hybridMultilevel"/>
    <w:tmpl w:val="843EB84C"/>
    <w:lvl w:ilvl="0" w:tplc="67CA286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114ACF"/>
    <w:multiLevelType w:val="hybridMultilevel"/>
    <w:tmpl w:val="EB9203F2"/>
    <w:lvl w:ilvl="0" w:tplc="67CA286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43"/>
    <w:rsid w:val="00DD1943"/>
    <w:rsid w:val="00E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0023"/>
  <w15:chartTrackingRefBased/>
  <w15:docId w15:val="{28EF4CB5-0B03-491B-97EC-6BB70F36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94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943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94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DD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">
    <w:name w:val="text-justify"/>
    <w:rsid w:val="00DD1943"/>
  </w:style>
  <w:style w:type="character" w:customStyle="1" w:styleId="text-justify1">
    <w:name w:val="text-justify1"/>
    <w:rsid w:val="00DD1943"/>
  </w:style>
  <w:style w:type="paragraph" w:styleId="Bezodstpw">
    <w:name w:val="No Spacing"/>
    <w:uiPriority w:val="1"/>
    <w:qFormat/>
    <w:rsid w:val="00DD1943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 Spychalski</dc:creator>
  <cp:keywords/>
  <dc:description/>
  <cp:lastModifiedBy>Waclaw Spychalski</cp:lastModifiedBy>
  <cp:revision>1</cp:revision>
  <dcterms:created xsi:type="dcterms:W3CDTF">2020-01-16T16:39:00Z</dcterms:created>
  <dcterms:modified xsi:type="dcterms:W3CDTF">2020-01-16T16:52:00Z</dcterms:modified>
</cp:coreProperties>
</file>